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2D4DF" w14:textId="77777777" w:rsidR="00BA5DD1" w:rsidRPr="00BA5DD1" w:rsidRDefault="00BA5DD1" w:rsidP="00BA5DD1">
      <w:pPr>
        <w:shd w:val="clear" w:color="auto" w:fill="FFFFFF"/>
        <w:spacing w:after="0" w:line="240" w:lineRule="auto"/>
        <w:outlineLvl w:val="0"/>
        <w:rPr>
          <w:rFonts w:ascii="Arial" w:eastAsia="Times New Roman" w:hAnsi="Arial" w:cs="Arial"/>
          <w:b/>
          <w:bCs/>
          <w:color w:val="0C1427"/>
          <w:kern w:val="36"/>
          <w:sz w:val="54"/>
          <w:szCs w:val="54"/>
          <w:lang w:eastAsia="en-AU"/>
        </w:rPr>
      </w:pPr>
      <w:r w:rsidRPr="00BA5DD1">
        <w:rPr>
          <w:rFonts w:ascii="Arial" w:eastAsia="Times New Roman" w:hAnsi="Arial" w:cs="Arial"/>
          <w:b/>
          <w:bCs/>
          <w:color w:val="0C1427"/>
          <w:kern w:val="36"/>
          <w:sz w:val="54"/>
          <w:szCs w:val="54"/>
          <w:lang w:eastAsia="en-AU"/>
        </w:rPr>
        <w:t>Going Concern Assessment</w:t>
      </w:r>
    </w:p>
    <w:p w14:paraId="1C1D3D3D" w14:textId="77777777" w:rsidR="00BA5DD1" w:rsidRPr="00BA5DD1" w:rsidRDefault="00BA5DD1" w:rsidP="00BA5DD1">
      <w:pPr>
        <w:spacing w:after="150" w:line="240" w:lineRule="atLeast"/>
        <w:outlineLvl w:val="1"/>
        <w:rPr>
          <w:rFonts w:ascii="Arial" w:eastAsia="Times New Roman" w:hAnsi="Arial" w:cs="Arial"/>
          <w:b/>
          <w:bCs/>
          <w:color w:val="76A0FF"/>
          <w:sz w:val="45"/>
          <w:szCs w:val="45"/>
          <w:lang w:eastAsia="en-AU"/>
        </w:rPr>
      </w:pPr>
      <w:proofErr w:type="spellStart"/>
      <w:r w:rsidRPr="00BA5DD1">
        <w:rPr>
          <w:rFonts w:ascii="Arial" w:eastAsia="Times New Roman" w:hAnsi="Arial" w:cs="Arial"/>
          <w:b/>
          <w:bCs/>
          <w:color w:val="76A0FF"/>
          <w:sz w:val="45"/>
          <w:szCs w:val="45"/>
          <w:lang w:eastAsia="en-AU"/>
        </w:rPr>
        <w:t>ClubCOLLECTIVE</w:t>
      </w:r>
      <w:proofErr w:type="spellEnd"/>
      <w:r w:rsidRPr="00BA5DD1">
        <w:rPr>
          <w:rFonts w:ascii="Arial" w:eastAsia="Times New Roman" w:hAnsi="Arial" w:cs="Arial"/>
          <w:b/>
          <w:bCs/>
          <w:color w:val="76A0FF"/>
          <w:sz w:val="45"/>
          <w:szCs w:val="45"/>
          <w:lang w:eastAsia="en-AU"/>
        </w:rPr>
        <w:t xml:space="preserve"> July</w:t>
      </w:r>
    </w:p>
    <w:p w14:paraId="28C318EA" w14:textId="77777777" w:rsidR="00BA5DD1" w:rsidRPr="00BA5DD1" w:rsidRDefault="00BA5DD1" w:rsidP="00BA5DD1">
      <w:pPr>
        <w:spacing w:after="150" w:line="240" w:lineRule="auto"/>
        <w:rPr>
          <w:rFonts w:ascii="Times New Roman" w:eastAsia="Times New Roman" w:hAnsi="Times New Roman" w:cs="Times New Roman"/>
          <w:sz w:val="24"/>
          <w:szCs w:val="24"/>
          <w:lang w:eastAsia="en-AU"/>
        </w:rPr>
      </w:pPr>
      <w:r w:rsidRPr="00BA5DD1">
        <w:rPr>
          <w:rFonts w:ascii="Times New Roman" w:eastAsia="Times New Roman" w:hAnsi="Times New Roman" w:cs="Times New Roman"/>
          <w:sz w:val="24"/>
          <w:szCs w:val="24"/>
          <w:lang w:eastAsia="en-AU"/>
        </w:rPr>
        <w:t>For many clubs, July brings with it the start of a new financial year.</w:t>
      </w:r>
    </w:p>
    <w:p w14:paraId="5F9F94FC" w14:textId="77777777" w:rsidR="00BA5DD1" w:rsidRPr="00BA5DD1" w:rsidRDefault="00BA5DD1" w:rsidP="00BA5DD1">
      <w:pPr>
        <w:spacing w:after="150" w:line="240" w:lineRule="auto"/>
        <w:rPr>
          <w:rFonts w:ascii="Times New Roman" w:eastAsia="Times New Roman" w:hAnsi="Times New Roman" w:cs="Times New Roman"/>
          <w:sz w:val="24"/>
          <w:szCs w:val="24"/>
          <w:lang w:eastAsia="en-AU"/>
        </w:rPr>
      </w:pPr>
      <w:r w:rsidRPr="00BA5DD1">
        <w:rPr>
          <w:rFonts w:ascii="Times New Roman" w:eastAsia="Times New Roman" w:hAnsi="Times New Roman" w:cs="Times New Roman"/>
          <w:sz w:val="24"/>
          <w:szCs w:val="24"/>
          <w:lang w:eastAsia="en-AU"/>
        </w:rPr>
        <w:t>This also means an assessment of going concern will be required when preparing year-end financial statements. The Australian Accounting authorities have flagged that as COVID-19 is having a profound impact, entities should be conscious of indicators that could cast significant doubt on their ability to continue as a going concern.</w:t>
      </w:r>
    </w:p>
    <w:p w14:paraId="0823686F" w14:textId="77777777" w:rsidR="00BA5DD1" w:rsidRPr="00BA5DD1" w:rsidRDefault="00BA5DD1" w:rsidP="00BA5DD1">
      <w:pPr>
        <w:spacing w:after="150" w:line="240" w:lineRule="auto"/>
        <w:rPr>
          <w:rFonts w:ascii="Times New Roman" w:eastAsia="Times New Roman" w:hAnsi="Times New Roman" w:cs="Times New Roman"/>
          <w:sz w:val="24"/>
          <w:szCs w:val="24"/>
          <w:lang w:eastAsia="en-AU"/>
        </w:rPr>
      </w:pPr>
      <w:r w:rsidRPr="00BA5DD1">
        <w:rPr>
          <w:rFonts w:ascii="Times New Roman" w:eastAsia="Times New Roman" w:hAnsi="Times New Roman" w:cs="Times New Roman"/>
          <w:sz w:val="24"/>
          <w:szCs w:val="24"/>
          <w:lang w:eastAsia="en-AU"/>
        </w:rPr>
        <w:t>An entity prepares its financial statements on a going concern basis unless it intends to either liquidate the entity or to cease trading, or it has no realistic alternative. When assessing whether the going concern assumption is appropriate, all available information about the future should be considered that is at least 12 months from the end of the reporting period.</w:t>
      </w:r>
    </w:p>
    <w:p w14:paraId="516A187B" w14:textId="77777777" w:rsidR="00BA5DD1" w:rsidRPr="00BA5DD1" w:rsidRDefault="00BA5DD1" w:rsidP="00BA5DD1">
      <w:pPr>
        <w:spacing w:after="150" w:line="240" w:lineRule="auto"/>
        <w:rPr>
          <w:rFonts w:ascii="Times New Roman" w:eastAsia="Times New Roman" w:hAnsi="Times New Roman" w:cs="Times New Roman"/>
          <w:sz w:val="24"/>
          <w:szCs w:val="24"/>
          <w:lang w:eastAsia="en-AU"/>
        </w:rPr>
      </w:pPr>
      <w:r w:rsidRPr="00BA5DD1">
        <w:rPr>
          <w:rFonts w:ascii="Times New Roman" w:eastAsia="Times New Roman" w:hAnsi="Times New Roman" w:cs="Times New Roman"/>
          <w:sz w:val="24"/>
          <w:szCs w:val="24"/>
          <w:lang w:eastAsia="en-AU"/>
        </w:rPr>
        <w:t xml:space="preserve">When an entity identifies events or conditions that may cast significant doubt upon </w:t>
      </w:r>
      <w:proofErr w:type="spellStart"/>
      <w:proofErr w:type="gramStart"/>
      <w:r w:rsidRPr="00BA5DD1">
        <w:rPr>
          <w:rFonts w:ascii="Times New Roman" w:eastAsia="Times New Roman" w:hAnsi="Times New Roman" w:cs="Times New Roman"/>
          <w:sz w:val="24"/>
          <w:szCs w:val="24"/>
          <w:lang w:eastAsia="en-AU"/>
        </w:rPr>
        <w:t>it’s</w:t>
      </w:r>
      <w:proofErr w:type="spellEnd"/>
      <w:proofErr w:type="gramEnd"/>
      <w:r w:rsidRPr="00BA5DD1">
        <w:rPr>
          <w:rFonts w:ascii="Times New Roman" w:eastAsia="Times New Roman" w:hAnsi="Times New Roman" w:cs="Times New Roman"/>
          <w:sz w:val="24"/>
          <w:szCs w:val="24"/>
          <w:lang w:eastAsia="en-AU"/>
        </w:rPr>
        <w:t xml:space="preserve"> ability to continue as a going concern, it should consider all relevant information, including the feasibility and effectiveness of any planned mitigation.</w:t>
      </w:r>
    </w:p>
    <w:p w14:paraId="6E39FC53" w14:textId="77777777" w:rsidR="00BA5DD1" w:rsidRPr="00BA5DD1" w:rsidRDefault="00BA5DD1" w:rsidP="00BA5DD1">
      <w:pPr>
        <w:spacing w:after="150" w:line="240" w:lineRule="auto"/>
        <w:rPr>
          <w:rFonts w:ascii="Times New Roman" w:eastAsia="Times New Roman" w:hAnsi="Times New Roman" w:cs="Times New Roman"/>
          <w:sz w:val="24"/>
          <w:szCs w:val="24"/>
          <w:lang w:eastAsia="en-AU"/>
        </w:rPr>
      </w:pPr>
      <w:r w:rsidRPr="00BA5DD1">
        <w:rPr>
          <w:rFonts w:ascii="Times New Roman" w:eastAsia="Times New Roman" w:hAnsi="Times New Roman" w:cs="Times New Roman"/>
          <w:sz w:val="24"/>
          <w:szCs w:val="24"/>
          <w:lang w:eastAsia="en-AU"/>
        </w:rPr>
        <w:t>If a club is not able to continue as a going concern, the Accounting Standards would ordinarily require its financial report be prepared on an alternative basis, such as liquidity basis, and relevant disclosures made. However in reality, the inability to continue as a going concern is linked to a questionable solvency position, and directors would typically move to appoint an administrator or liquidator before having to deal with what accounting basis to choose in year-end financial statements.</w:t>
      </w:r>
    </w:p>
    <w:p w14:paraId="4191ED98" w14:textId="77777777" w:rsidR="00BA5DD1" w:rsidRPr="00BA5DD1" w:rsidRDefault="00BA5DD1" w:rsidP="00BA5DD1">
      <w:pPr>
        <w:spacing w:after="150" w:line="240" w:lineRule="auto"/>
        <w:rPr>
          <w:rFonts w:ascii="Times New Roman" w:eastAsia="Times New Roman" w:hAnsi="Times New Roman" w:cs="Times New Roman"/>
          <w:sz w:val="24"/>
          <w:szCs w:val="24"/>
          <w:lang w:eastAsia="en-AU"/>
        </w:rPr>
      </w:pPr>
      <w:r w:rsidRPr="00BA5DD1">
        <w:rPr>
          <w:rFonts w:ascii="Times New Roman" w:eastAsia="Times New Roman" w:hAnsi="Times New Roman" w:cs="Times New Roman"/>
          <w:sz w:val="24"/>
          <w:szCs w:val="24"/>
          <w:lang w:eastAsia="en-AU"/>
        </w:rPr>
        <w:t>The auditor will also need to evaluate and conclude on the appropriateness of the entity’s going concern assessment; and whether a material uncertainty exists related to events or conditions that may cast significant doubt on the entity’s ability to continue as a going concern.</w:t>
      </w:r>
    </w:p>
    <w:p w14:paraId="1654BA5C" w14:textId="77777777" w:rsidR="00BA5DD1" w:rsidRPr="00BA5DD1" w:rsidRDefault="00BA5DD1" w:rsidP="00BA5DD1">
      <w:pPr>
        <w:spacing w:after="150" w:line="240" w:lineRule="auto"/>
        <w:rPr>
          <w:rFonts w:ascii="Times New Roman" w:eastAsia="Times New Roman" w:hAnsi="Times New Roman" w:cs="Times New Roman"/>
          <w:sz w:val="24"/>
          <w:szCs w:val="24"/>
          <w:lang w:eastAsia="en-AU"/>
        </w:rPr>
      </w:pPr>
      <w:r w:rsidRPr="00BA5DD1">
        <w:rPr>
          <w:rFonts w:ascii="Times New Roman" w:eastAsia="Times New Roman" w:hAnsi="Times New Roman" w:cs="Times New Roman"/>
          <w:sz w:val="24"/>
          <w:szCs w:val="24"/>
          <w:lang w:eastAsia="en-AU"/>
        </w:rPr>
        <w:t>For more information about going concern and solvency assessments, contact:</w:t>
      </w:r>
    </w:p>
    <w:p w14:paraId="4B7E229A" w14:textId="77777777" w:rsidR="00BA5DD1" w:rsidRPr="00BA5DD1" w:rsidRDefault="00BA5DD1" w:rsidP="00BA5DD1">
      <w:pPr>
        <w:spacing w:before="300" w:after="300" w:line="240" w:lineRule="auto"/>
        <w:rPr>
          <w:rFonts w:ascii="Times New Roman" w:eastAsia="Times New Roman" w:hAnsi="Times New Roman" w:cs="Times New Roman"/>
          <w:sz w:val="24"/>
          <w:szCs w:val="24"/>
          <w:lang w:eastAsia="en-AU"/>
        </w:rPr>
      </w:pPr>
      <w:r w:rsidRPr="00BA5DD1">
        <w:rPr>
          <w:rFonts w:ascii="Times New Roman" w:eastAsia="Times New Roman" w:hAnsi="Times New Roman" w:cs="Times New Roman"/>
          <w:sz w:val="24"/>
          <w:szCs w:val="24"/>
          <w:lang w:eastAsia="en-AU"/>
        </w:rPr>
        <w:pict w14:anchorId="4A8DDBB7">
          <v:rect id="_x0000_i1025" style="width:0;height:0" o:hralign="center" o:hrstd="t" o:hr="t" fillcolor="#a0a0a0" stroked="f"/>
        </w:pict>
      </w:r>
    </w:p>
    <w:p w14:paraId="41025D37" w14:textId="77777777" w:rsidR="00BA5DD1" w:rsidRPr="00BA5DD1" w:rsidRDefault="00BA5DD1" w:rsidP="00BA5DD1">
      <w:pPr>
        <w:spacing w:after="150" w:line="240" w:lineRule="auto"/>
        <w:rPr>
          <w:rFonts w:ascii="Times New Roman" w:eastAsia="Times New Roman" w:hAnsi="Times New Roman" w:cs="Times New Roman"/>
          <w:sz w:val="24"/>
          <w:szCs w:val="24"/>
          <w:lang w:eastAsia="en-AU"/>
        </w:rPr>
      </w:pPr>
      <w:r w:rsidRPr="00BA5DD1">
        <w:rPr>
          <w:rFonts w:ascii="Times New Roman" w:eastAsia="Times New Roman" w:hAnsi="Times New Roman" w:cs="Times New Roman"/>
          <w:b/>
          <w:bCs/>
          <w:sz w:val="24"/>
          <w:szCs w:val="24"/>
          <w:lang w:eastAsia="en-AU"/>
        </w:rPr>
        <w:t>Contact Information</w:t>
      </w:r>
      <w:r w:rsidRPr="00BA5DD1">
        <w:rPr>
          <w:rFonts w:ascii="Times New Roman" w:eastAsia="Times New Roman" w:hAnsi="Times New Roman" w:cs="Times New Roman"/>
          <w:sz w:val="24"/>
          <w:szCs w:val="24"/>
          <w:lang w:eastAsia="en-AU"/>
        </w:rPr>
        <w:br/>
      </w:r>
      <w:r w:rsidRPr="00BA5DD1">
        <w:rPr>
          <w:rFonts w:ascii="Times New Roman" w:eastAsia="Times New Roman" w:hAnsi="Times New Roman" w:cs="Times New Roman"/>
          <w:b/>
          <w:bCs/>
          <w:sz w:val="24"/>
          <w:szCs w:val="24"/>
          <w:lang w:eastAsia="en-AU"/>
        </w:rPr>
        <w:t>Name: </w:t>
      </w:r>
      <w:r w:rsidRPr="00BA5DD1">
        <w:rPr>
          <w:rFonts w:ascii="Times New Roman" w:eastAsia="Times New Roman" w:hAnsi="Times New Roman" w:cs="Times New Roman"/>
          <w:sz w:val="24"/>
          <w:szCs w:val="24"/>
          <w:lang w:eastAsia="en-AU"/>
        </w:rPr>
        <w:t>Greg Russell</w:t>
      </w:r>
      <w:r w:rsidRPr="00BA5DD1">
        <w:rPr>
          <w:rFonts w:ascii="Times New Roman" w:eastAsia="Times New Roman" w:hAnsi="Times New Roman" w:cs="Times New Roman"/>
          <w:sz w:val="24"/>
          <w:szCs w:val="24"/>
          <w:lang w:eastAsia="en-AU"/>
        </w:rPr>
        <w:br/>
      </w:r>
      <w:r w:rsidRPr="00BA5DD1">
        <w:rPr>
          <w:rFonts w:ascii="Times New Roman" w:eastAsia="Times New Roman" w:hAnsi="Times New Roman" w:cs="Times New Roman"/>
          <w:b/>
          <w:bCs/>
          <w:sz w:val="24"/>
          <w:szCs w:val="24"/>
          <w:lang w:eastAsia="en-AU"/>
        </w:rPr>
        <w:t>Position Title: </w:t>
      </w:r>
      <w:r w:rsidRPr="00BA5DD1">
        <w:rPr>
          <w:rFonts w:ascii="Times New Roman" w:eastAsia="Times New Roman" w:hAnsi="Times New Roman" w:cs="Times New Roman"/>
          <w:sz w:val="24"/>
          <w:szCs w:val="24"/>
          <w:lang w:eastAsia="en-AU"/>
        </w:rPr>
        <w:t>Director</w:t>
      </w:r>
      <w:r w:rsidRPr="00BA5DD1">
        <w:rPr>
          <w:rFonts w:ascii="Times New Roman" w:eastAsia="Times New Roman" w:hAnsi="Times New Roman" w:cs="Times New Roman"/>
          <w:sz w:val="24"/>
          <w:szCs w:val="24"/>
          <w:lang w:eastAsia="en-AU"/>
        </w:rPr>
        <w:br/>
      </w:r>
      <w:r w:rsidRPr="00BA5DD1">
        <w:rPr>
          <w:rFonts w:ascii="Times New Roman" w:eastAsia="Times New Roman" w:hAnsi="Times New Roman" w:cs="Times New Roman"/>
          <w:b/>
          <w:bCs/>
          <w:sz w:val="24"/>
          <w:szCs w:val="24"/>
          <w:lang w:eastAsia="en-AU"/>
        </w:rPr>
        <w:t>Mobile: </w:t>
      </w:r>
      <w:r w:rsidRPr="00BA5DD1">
        <w:rPr>
          <w:rFonts w:ascii="Times New Roman" w:eastAsia="Times New Roman" w:hAnsi="Times New Roman" w:cs="Times New Roman"/>
          <w:sz w:val="24"/>
          <w:szCs w:val="24"/>
          <w:lang w:eastAsia="en-AU"/>
        </w:rPr>
        <w:t>02 9957 6700</w:t>
      </w:r>
      <w:r w:rsidRPr="00BA5DD1">
        <w:rPr>
          <w:rFonts w:ascii="Times New Roman" w:eastAsia="Times New Roman" w:hAnsi="Times New Roman" w:cs="Times New Roman"/>
          <w:sz w:val="24"/>
          <w:szCs w:val="24"/>
          <w:lang w:eastAsia="en-AU"/>
        </w:rPr>
        <w:br/>
      </w:r>
      <w:r w:rsidRPr="00BA5DD1">
        <w:rPr>
          <w:rFonts w:ascii="Times New Roman" w:eastAsia="Times New Roman" w:hAnsi="Times New Roman" w:cs="Times New Roman"/>
          <w:b/>
          <w:bCs/>
          <w:sz w:val="24"/>
          <w:szCs w:val="24"/>
          <w:lang w:eastAsia="en-AU"/>
        </w:rPr>
        <w:t>Email: </w:t>
      </w:r>
      <w:r w:rsidRPr="00BA5DD1">
        <w:rPr>
          <w:rFonts w:ascii="Times New Roman" w:eastAsia="Times New Roman" w:hAnsi="Times New Roman" w:cs="Times New Roman"/>
          <w:sz w:val="24"/>
          <w:szCs w:val="24"/>
          <w:lang w:eastAsia="en-AU"/>
        </w:rPr>
        <w:t>greg.russell@russellcorporate.com.au</w:t>
      </w:r>
      <w:r w:rsidRPr="00BA5DD1">
        <w:rPr>
          <w:rFonts w:ascii="Times New Roman" w:eastAsia="Times New Roman" w:hAnsi="Times New Roman" w:cs="Times New Roman"/>
          <w:sz w:val="24"/>
          <w:szCs w:val="24"/>
          <w:lang w:eastAsia="en-AU"/>
        </w:rPr>
        <w:br/>
      </w:r>
      <w:r w:rsidRPr="00BA5DD1">
        <w:rPr>
          <w:rFonts w:ascii="Times New Roman" w:eastAsia="Times New Roman" w:hAnsi="Times New Roman" w:cs="Times New Roman"/>
          <w:b/>
          <w:bCs/>
          <w:sz w:val="24"/>
          <w:szCs w:val="24"/>
          <w:lang w:eastAsia="en-AU"/>
        </w:rPr>
        <w:t>Website: </w:t>
      </w:r>
      <w:hyperlink r:id="rId4" w:tgtFrame="_blank" w:history="1">
        <w:r w:rsidRPr="00BA5DD1">
          <w:rPr>
            <w:rFonts w:ascii="Times New Roman" w:eastAsia="Times New Roman" w:hAnsi="Times New Roman" w:cs="Times New Roman"/>
            <w:color w:val="4EA6F1"/>
            <w:sz w:val="24"/>
            <w:szCs w:val="24"/>
            <w:u w:val="single"/>
            <w:lang w:eastAsia="en-AU"/>
          </w:rPr>
          <w:t>https://www.russellcorporate.com.au</w:t>
        </w:r>
      </w:hyperlink>
    </w:p>
    <w:p w14:paraId="12BED6B5" w14:textId="77777777" w:rsidR="00BA5DD1" w:rsidRPr="00BA5DD1" w:rsidRDefault="00BA5DD1" w:rsidP="00BA5DD1">
      <w:pPr>
        <w:spacing w:after="0" w:line="240" w:lineRule="auto"/>
        <w:rPr>
          <w:rFonts w:ascii="Times New Roman" w:eastAsia="Times New Roman" w:hAnsi="Times New Roman" w:cs="Times New Roman"/>
          <w:sz w:val="24"/>
          <w:szCs w:val="24"/>
          <w:lang w:eastAsia="en-AU"/>
        </w:rPr>
      </w:pPr>
      <w:r w:rsidRPr="00BA5DD1">
        <w:rPr>
          <w:rFonts w:ascii="Times New Roman" w:eastAsia="Times New Roman" w:hAnsi="Times New Roman" w:cs="Times New Roman"/>
          <w:noProof/>
          <w:color w:val="23527C"/>
          <w:sz w:val="24"/>
          <w:szCs w:val="24"/>
          <w:lang w:eastAsia="en-AU"/>
        </w:rPr>
        <w:drawing>
          <wp:inline distT="0" distB="0" distL="0" distR="0" wp14:anchorId="3E3F9B6C" wp14:editId="293A4485">
            <wp:extent cx="2095500" cy="495300"/>
            <wp:effectExtent l="0" t="0" r="0" b="0"/>
            <wp:docPr id="2" name="Picture 2" descr="Russell Corporat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sell Corporat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495300"/>
                    </a:xfrm>
                    <a:prstGeom prst="rect">
                      <a:avLst/>
                    </a:prstGeom>
                    <a:noFill/>
                    <a:ln>
                      <a:noFill/>
                    </a:ln>
                  </pic:spPr>
                </pic:pic>
              </a:graphicData>
            </a:graphic>
          </wp:inline>
        </w:drawing>
      </w:r>
    </w:p>
    <w:p w14:paraId="0FB27888" w14:textId="77777777" w:rsidR="0030772F" w:rsidRDefault="0030772F" w:rsidP="0030772F">
      <w:pPr>
        <w:rPr>
          <w:rFonts w:ascii="Tahoma" w:hAnsi="Tahoma" w:cs="Tahoma"/>
          <w:sz w:val="20"/>
          <w:szCs w:val="20"/>
        </w:rPr>
      </w:pPr>
    </w:p>
    <w:p w14:paraId="54AC7CD4" w14:textId="77777777" w:rsidR="00733EAC" w:rsidRDefault="00733EAC"/>
    <w:sectPr w:rsidR="00733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8EB84-7195-4728-9576-C0B6A6B6CCA8}"/>
    <w:docVar w:name="dgnword-eventsink" w:val="680501264"/>
  </w:docVars>
  <w:rsids>
    <w:rsidRoot w:val="00733EAC"/>
    <w:rsid w:val="00140409"/>
    <w:rsid w:val="001D20BA"/>
    <w:rsid w:val="002873A6"/>
    <w:rsid w:val="0030772F"/>
    <w:rsid w:val="00362E30"/>
    <w:rsid w:val="003A216C"/>
    <w:rsid w:val="005738E1"/>
    <w:rsid w:val="005F6681"/>
    <w:rsid w:val="006001F7"/>
    <w:rsid w:val="00673528"/>
    <w:rsid w:val="00725E67"/>
    <w:rsid w:val="00733EAC"/>
    <w:rsid w:val="007558FD"/>
    <w:rsid w:val="00852D94"/>
    <w:rsid w:val="008E293E"/>
    <w:rsid w:val="00906EA0"/>
    <w:rsid w:val="00994149"/>
    <w:rsid w:val="009C1DE2"/>
    <w:rsid w:val="00A70E9B"/>
    <w:rsid w:val="00BA5DD1"/>
    <w:rsid w:val="00CF2641"/>
    <w:rsid w:val="00D516FF"/>
    <w:rsid w:val="00D9009C"/>
    <w:rsid w:val="00DA5F0E"/>
    <w:rsid w:val="00E6108A"/>
    <w:rsid w:val="00F50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DF47"/>
  <w15:chartTrackingRefBased/>
  <w15:docId w15:val="{983AE547-BD0F-4D9F-901E-9914BD6A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08A"/>
    <w:rPr>
      <w:rFonts w:ascii="Segoe UI" w:hAnsi="Segoe UI" w:cs="Segoe UI"/>
      <w:sz w:val="18"/>
      <w:szCs w:val="18"/>
    </w:rPr>
  </w:style>
  <w:style w:type="character" w:styleId="Hyperlink">
    <w:name w:val="Hyperlink"/>
    <w:basedOn w:val="DefaultParagraphFont"/>
    <w:uiPriority w:val="99"/>
    <w:unhideWhenUsed/>
    <w:rsid w:val="00307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79806">
      <w:bodyDiv w:val="1"/>
      <w:marLeft w:val="0"/>
      <w:marRight w:val="0"/>
      <w:marTop w:val="0"/>
      <w:marBottom w:val="0"/>
      <w:divBdr>
        <w:top w:val="none" w:sz="0" w:space="0" w:color="auto"/>
        <w:left w:val="none" w:sz="0" w:space="0" w:color="auto"/>
        <w:bottom w:val="none" w:sz="0" w:space="0" w:color="auto"/>
        <w:right w:val="none" w:sz="0" w:space="0" w:color="auto"/>
      </w:divBdr>
      <w:divsChild>
        <w:div w:id="1626815004">
          <w:marLeft w:val="0"/>
          <w:marRight w:val="0"/>
          <w:marTop w:val="0"/>
          <w:marBottom w:val="0"/>
          <w:divBdr>
            <w:top w:val="none" w:sz="0" w:space="0" w:color="auto"/>
            <w:left w:val="none" w:sz="0" w:space="0" w:color="auto"/>
            <w:bottom w:val="none" w:sz="0" w:space="0" w:color="auto"/>
            <w:right w:val="none" w:sz="0" w:space="0" w:color="auto"/>
          </w:divBdr>
          <w:divsChild>
            <w:div w:id="691535898">
              <w:marLeft w:val="0"/>
              <w:marRight w:val="0"/>
              <w:marTop w:val="0"/>
              <w:marBottom w:val="0"/>
              <w:divBdr>
                <w:top w:val="none" w:sz="0" w:space="0" w:color="auto"/>
                <w:left w:val="none" w:sz="0" w:space="0" w:color="auto"/>
                <w:bottom w:val="none" w:sz="0" w:space="0" w:color="auto"/>
                <w:right w:val="none" w:sz="0" w:space="0" w:color="auto"/>
              </w:divBdr>
            </w:div>
          </w:divsChild>
        </w:div>
        <w:div w:id="109009097">
          <w:marLeft w:val="0"/>
          <w:marRight w:val="0"/>
          <w:marTop w:val="0"/>
          <w:marBottom w:val="0"/>
          <w:divBdr>
            <w:top w:val="none" w:sz="0" w:space="0" w:color="auto"/>
            <w:left w:val="none" w:sz="0" w:space="0" w:color="auto"/>
            <w:bottom w:val="none" w:sz="0" w:space="0" w:color="auto"/>
            <w:right w:val="none" w:sz="0" w:space="0" w:color="auto"/>
          </w:divBdr>
          <w:divsChild>
            <w:div w:id="2079594301">
              <w:marLeft w:val="0"/>
              <w:marRight w:val="0"/>
              <w:marTop w:val="0"/>
              <w:marBottom w:val="0"/>
              <w:divBdr>
                <w:top w:val="none" w:sz="0" w:space="0" w:color="auto"/>
                <w:left w:val="none" w:sz="0" w:space="0" w:color="auto"/>
                <w:bottom w:val="none" w:sz="0" w:space="0" w:color="auto"/>
                <w:right w:val="none" w:sz="0" w:space="0" w:color="auto"/>
              </w:divBdr>
              <w:divsChild>
                <w:div w:id="1628315924">
                  <w:marLeft w:val="0"/>
                  <w:marRight w:val="0"/>
                  <w:marTop w:val="0"/>
                  <w:marBottom w:val="0"/>
                  <w:divBdr>
                    <w:top w:val="none" w:sz="0" w:space="0" w:color="auto"/>
                    <w:left w:val="none" w:sz="0" w:space="0" w:color="auto"/>
                    <w:bottom w:val="none" w:sz="0" w:space="0" w:color="auto"/>
                    <w:right w:val="none" w:sz="0" w:space="0" w:color="auto"/>
                  </w:divBdr>
                  <w:divsChild>
                    <w:div w:id="1307587707">
                      <w:marLeft w:val="0"/>
                      <w:marRight w:val="0"/>
                      <w:marTop w:val="0"/>
                      <w:marBottom w:val="0"/>
                      <w:divBdr>
                        <w:top w:val="none" w:sz="0" w:space="0" w:color="auto"/>
                        <w:left w:val="none" w:sz="0" w:space="0" w:color="auto"/>
                        <w:bottom w:val="none" w:sz="0" w:space="0" w:color="auto"/>
                        <w:right w:val="none" w:sz="0" w:space="0" w:color="auto"/>
                      </w:divBdr>
                      <w:divsChild>
                        <w:div w:id="1869831894">
                          <w:marLeft w:val="0"/>
                          <w:marRight w:val="0"/>
                          <w:marTop w:val="0"/>
                          <w:marBottom w:val="0"/>
                          <w:divBdr>
                            <w:top w:val="none" w:sz="0" w:space="0" w:color="auto"/>
                            <w:left w:val="none" w:sz="0" w:space="0" w:color="auto"/>
                            <w:bottom w:val="none" w:sz="0" w:space="0" w:color="auto"/>
                            <w:right w:val="none" w:sz="0" w:space="0" w:color="auto"/>
                          </w:divBdr>
                          <w:divsChild>
                            <w:div w:id="461460835">
                              <w:marLeft w:val="0"/>
                              <w:marRight w:val="0"/>
                              <w:marTop w:val="0"/>
                              <w:marBottom w:val="0"/>
                              <w:divBdr>
                                <w:top w:val="none" w:sz="0" w:space="0" w:color="auto"/>
                                <w:left w:val="none" w:sz="0" w:space="0" w:color="auto"/>
                                <w:bottom w:val="none" w:sz="0" w:space="0" w:color="auto"/>
                                <w:right w:val="none" w:sz="0" w:space="0" w:color="auto"/>
                              </w:divBdr>
                              <w:divsChild>
                                <w:div w:id="1470633593">
                                  <w:marLeft w:val="0"/>
                                  <w:marRight w:val="0"/>
                                  <w:marTop w:val="0"/>
                                  <w:marBottom w:val="0"/>
                                  <w:divBdr>
                                    <w:top w:val="none" w:sz="0" w:space="0" w:color="auto"/>
                                    <w:left w:val="none" w:sz="0" w:space="0" w:color="auto"/>
                                    <w:bottom w:val="none" w:sz="0" w:space="0" w:color="auto"/>
                                    <w:right w:val="none" w:sz="0" w:space="0" w:color="auto"/>
                                  </w:divBdr>
                                </w:div>
                              </w:divsChild>
                            </w:div>
                            <w:div w:id="1458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russellcorporat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Russell</dc:creator>
  <cp:keywords/>
  <dc:description/>
  <cp:lastModifiedBy>Emma Wood</cp:lastModifiedBy>
  <cp:revision>3</cp:revision>
  <dcterms:created xsi:type="dcterms:W3CDTF">2020-07-10T03:28:00Z</dcterms:created>
  <dcterms:modified xsi:type="dcterms:W3CDTF">2020-07-10T03:29:00Z</dcterms:modified>
</cp:coreProperties>
</file>